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B" w:rsidRDefault="0054795B" w:rsidP="0054795B">
      <w:r>
        <w:t>Контрольная работа по дисциплине «Управление проектами»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741862242"/>
        <w:docPartObj>
          <w:docPartGallery w:val="Table of Contents"/>
          <w:docPartUnique/>
        </w:docPartObj>
      </w:sdtPr>
      <w:sdtEndPr/>
      <w:sdtContent>
        <w:p w:rsidR="0054795B" w:rsidRDefault="0054795B" w:rsidP="0054795B">
          <w:pPr>
            <w:pStyle w:val="a3"/>
            <w:jc w:val="center"/>
          </w:pPr>
          <w:r>
            <w:t>Оглавление</w:t>
          </w:r>
        </w:p>
        <w:p w:rsidR="0054795B" w:rsidRPr="0054795B" w:rsidRDefault="0054795B" w:rsidP="0054795B">
          <w:pPr>
            <w:rPr>
              <w:lang w:eastAsia="ru-RU"/>
            </w:rPr>
          </w:pPr>
          <w:bookmarkStart w:id="0" w:name="_GoBack"/>
          <w:bookmarkEnd w:id="0"/>
        </w:p>
        <w:p w:rsidR="00B047F6" w:rsidRDefault="005479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954734" w:history="1">
            <w:r w:rsidR="00B047F6" w:rsidRPr="00E423DD">
              <w:rPr>
                <w:rStyle w:val="a4"/>
                <w:rFonts w:eastAsia="Times New Roman"/>
                <w:noProof/>
                <w:lang w:eastAsia="ru-RU"/>
              </w:rPr>
              <w:t>Семинар 6</w:t>
            </w:r>
            <w:r w:rsidR="00B047F6">
              <w:rPr>
                <w:noProof/>
                <w:webHidden/>
              </w:rPr>
              <w:tab/>
            </w:r>
            <w:r w:rsidR="00B047F6">
              <w:rPr>
                <w:noProof/>
                <w:webHidden/>
              </w:rPr>
              <w:fldChar w:fldCharType="begin"/>
            </w:r>
            <w:r w:rsidR="00B047F6">
              <w:rPr>
                <w:noProof/>
                <w:webHidden/>
              </w:rPr>
              <w:instrText xml:space="preserve"> PAGEREF _Toc87954734 \h </w:instrText>
            </w:r>
            <w:r w:rsidR="00B047F6">
              <w:rPr>
                <w:noProof/>
                <w:webHidden/>
              </w:rPr>
            </w:r>
            <w:r w:rsidR="00B047F6">
              <w:rPr>
                <w:noProof/>
                <w:webHidden/>
              </w:rPr>
              <w:fldChar w:fldCharType="separate"/>
            </w:r>
            <w:r w:rsidR="00B047F6">
              <w:rPr>
                <w:noProof/>
                <w:webHidden/>
              </w:rPr>
              <w:t>3</w:t>
            </w:r>
            <w:r w:rsidR="00B047F6">
              <w:rPr>
                <w:noProof/>
                <w:webHidden/>
              </w:rPr>
              <w:fldChar w:fldCharType="end"/>
            </w:r>
          </w:hyperlink>
        </w:p>
        <w:p w:rsidR="00B047F6" w:rsidRDefault="00B047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4735" w:history="1">
            <w:r w:rsidRPr="00E423DD">
              <w:rPr>
                <w:rStyle w:val="a4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_Toc87954735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795B" w:rsidRDefault="0054795B">
          <w:r>
            <w:rPr>
              <w:b/>
              <w:bCs/>
            </w:rPr>
            <w:fldChar w:fldCharType="end"/>
          </w:r>
        </w:p>
      </w:sdtContent>
    </w:sdt>
    <w:p w:rsidR="0054795B" w:rsidRDefault="0054795B" w:rsidP="0054795B"/>
    <w:p w:rsidR="0054795B" w:rsidRDefault="0054795B" w:rsidP="0054795B">
      <w:pPr>
        <w:spacing w:line="276" w:lineRule="auto"/>
        <w:jc w:val="left"/>
      </w:pPr>
      <w:r>
        <w:br w:type="page"/>
      </w:r>
    </w:p>
    <w:p w:rsidR="00B047F6" w:rsidRDefault="00B047F6" w:rsidP="00B047F6">
      <w:pPr>
        <w:pStyle w:val="1"/>
        <w:rPr>
          <w:rFonts w:eastAsia="Times New Roman"/>
          <w:lang w:eastAsia="ru-RU"/>
        </w:rPr>
      </w:pPr>
      <w:bookmarkStart w:id="1" w:name="_Toc87954734"/>
      <w:r>
        <w:rPr>
          <w:rFonts w:eastAsia="Times New Roman"/>
          <w:lang w:eastAsia="ru-RU"/>
        </w:rPr>
        <w:lastRenderedPageBreak/>
        <w:t>Семинар 6</w:t>
      </w:r>
      <w:bookmarkEnd w:id="1"/>
    </w:p>
    <w:p w:rsidR="00B047F6" w:rsidRDefault="00B047F6" w:rsidP="00B047F6">
      <w:pPr>
        <w:ind w:firstLine="851"/>
      </w:pPr>
    </w:p>
    <w:p w:rsidR="00B047F6" w:rsidRDefault="00B047F6" w:rsidP="00B047F6">
      <w:pPr>
        <w:ind w:firstLine="709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Открытие нового филиала будет осуществляться на основе производственной базы с хорошей логистической сетью для удобства приема металла и поставки заказчикам готовой продукции.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Одна из особенностей всех цветных металлов в том, что они обладают высокой прочностью и долговечностью, а также их способность переносить высокие температуры. Среди недостатков можно отметить только способность поддаваться коррозии и разрушаться под воздействием кислорода. Для открытие филиала необходимы капитальные затраты в сумме 76818,29 тыс. руб. из которых 66,3% -собственные средства, а 33,7% заемные средства. </w:t>
      </w:r>
      <w:r>
        <w:rPr>
          <w:rFonts w:eastAsia="Times New Roman" w:cs="Times New Roman"/>
          <w:szCs w:val="24"/>
        </w:rPr>
        <w:t>Попробуем составить вероятностные оценки выполнения работ во времени – оптимистичную оценку, наиболее вероятную и пессимистичную.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Оптимистичная оценка – срок, указанный в цели проекта - 7 месяцев. Что касается наиболее вероятностной оценки, я считаю, что проект выполнится раньше, так как, формируя проект, я указал время на 3-й этап выполнения проекта (Заключительный) с запасом. 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Пессимистичная оценка выполнения проекта основывается на предположении о том, что  по каким-либо причинам, внешним или внутренним, конечный результат не будет достигнут вовремя. Так, проект может быть выполнен проект на 1-2 месяца позже.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Теперь составим кривую распределения вероятности (рис. 6.1): Что касается ограничений проекта, то все они подразделяются на 3 части: ограничения по ресурсам, по времени и по качеству.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1) Чтобы определить ограничения по ресурсам, что означает в данном контексте финансовые средства, вернемся к пункту «требуемые ресурсы» из 2-го этапа, подпункту «деньги», где описана сумма всех затрат, которые мы должны произвести при выполнении нашего проекта. Установим лимит – 80 млн. рублей. 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2) Ограничения по времени составляют 12 месяцев, как уже было указано выше.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3) Ограничениями к качеству будут являться требования к проекту, указанные в начале 3-го этапа.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</w:p>
    <w:p w:rsidR="00B047F6" w:rsidRDefault="00B047F6" w:rsidP="00B047F6">
      <w:pPr>
        <w:jc w:val="center"/>
        <w:rPr>
          <w:rFonts w:eastAsia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59985" cy="1770380"/>
            <wp:effectExtent l="0" t="0" r="12065" b="2032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47F6" w:rsidRDefault="00B047F6" w:rsidP="00B047F6">
      <w:pPr>
        <w:ind w:firstLine="709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Рис.6.1 –  Кривая распределения вероятности</w:t>
      </w:r>
    </w:p>
    <w:p w:rsidR="00B047F6" w:rsidRDefault="00B047F6" w:rsidP="00B047F6">
      <w:pPr>
        <w:ind w:firstLine="709"/>
        <w:jc w:val="center"/>
        <w:rPr>
          <w:rFonts w:eastAsia="Times New Roman" w:cs="Times New Roman"/>
          <w:szCs w:val="24"/>
        </w:rPr>
      </w:pPr>
    </w:p>
    <w:p w:rsidR="00B047F6" w:rsidRDefault="00B047F6" w:rsidP="00B047F6">
      <w:pPr>
        <w:ind w:firstLine="709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Определение рисков проекта.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Поскольку в данном проекте сроки и точное расписание выполнения некоторых работ не может быть определено по причине отсутствия уточнения работ по дням. Поэтому можно говорить, что проект выполняется в условиях некоторой неопределенности. А там, где неопределенность, там всегда есть риск. Возможны отклонения от оптимального срока выполнения проекта (7 месяцев), как в лучшую сторону, так и в худшую. Причины отклонений могут возникать как из внешней среды, так и из внутренней: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1) внешняя среда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изменение законодательства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экономический кризис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рост инфляции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нестабильная политическая ситуация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2) внутренняя среда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забастовки рабочих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непредвиденные изменения в структуре организации.</w:t>
      </w:r>
    </w:p>
    <w:p w:rsidR="00B047F6" w:rsidRDefault="00B047F6" w:rsidP="00B047F6">
      <w:pPr>
        <w:ind w:firstLine="709"/>
        <w:rPr>
          <w:rFonts w:eastAsia="Times New Roman" w:cs="Times New Roman"/>
          <w:szCs w:val="24"/>
        </w:rPr>
      </w:pPr>
      <w:r>
        <w:lastRenderedPageBreak/>
        <w:t xml:space="preserve">К основным </w:t>
      </w:r>
      <w:r>
        <w:rPr>
          <w:b/>
          <w:bCs/>
        </w:rPr>
        <w:t>методам</w:t>
      </w:r>
      <w:r>
        <w:t xml:space="preserve"> </w:t>
      </w:r>
      <w:r>
        <w:rPr>
          <w:b/>
          <w:bCs/>
        </w:rPr>
        <w:t>минимизации</w:t>
      </w:r>
      <w:r>
        <w:t xml:space="preserve"> проектных </w:t>
      </w:r>
      <w:r>
        <w:rPr>
          <w:b/>
          <w:bCs/>
        </w:rPr>
        <w:t>рисков</w:t>
      </w:r>
      <w:r>
        <w:t xml:space="preserve"> относятся: диверсификация, или распределение </w:t>
      </w:r>
      <w:r>
        <w:rPr>
          <w:b/>
          <w:bCs/>
        </w:rPr>
        <w:t>рисков</w:t>
      </w:r>
      <w:r>
        <w:t xml:space="preserve">; резервирование средств; страхование. Диверсификация, или распределение </w:t>
      </w:r>
      <w:r>
        <w:rPr>
          <w:b/>
          <w:bCs/>
        </w:rPr>
        <w:t>рисков</w:t>
      </w:r>
      <w:r>
        <w:t xml:space="preserve"> (распределение усилий компании между видами деятельности, результаты которых непосредственно не связаны между собой), между участниками </w:t>
      </w:r>
      <w:r>
        <w:rPr>
          <w:b/>
          <w:bCs/>
        </w:rPr>
        <w:t>проекта</w:t>
      </w:r>
      <w:r>
        <w:t>.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p w:rsidR="00E31E15" w:rsidRDefault="0054795B" w:rsidP="0054795B">
      <w:pPr>
        <w:pStyle w:val="1"/>
      </w:pPr>
      <w:bookmarkStart w:id="2" w:name="_Toc87954735"/>
      <w:r>
        <w:lastRenderedPageBreak/>
        <w:t>Список литературы</w:t>
      </w:r>
      <w:bookmarkEnd w:id="2"/>
    </w:p>
    <w:p w:rsidR="0054795B" w:rsidRPr="0054795B" w:rsidRDefault="0054795B" w:rsidP="0054795B"/>
    <w:p w:rsidR="0054795B" w:rsidRDefault="0054795B" w:rsidP="0054795B">
      <w:pPr>
        <w:numPr>
          <w:ilvl w:val="0"/>
          <w:numId w:val="1"/>
        </w:numPr>
        <w:ind w:left="0" w:firstLine="709"/>
      </w:pPr>
      <w:r>
        <w:t>Плошкин, В.В. Оценка и управление рисками на предприятиях: Учебное пособие / В.В. Плошкин. - Ст. Оскол: ТНТ, 2018. - 448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Рыхтикова, Н.А. Анализ и управление рисками организации: Учебное пособие / Н.А. Рыхтикова. - М.: Форум, 2019. - 240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инвестиционными рисками: Учебное пособие / Л.Н. Тепман, Н.Д. Эриашвили. - М.: ЮНИТИ, 2017. - 215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рисками в условиях финансового кризиса: Учебное пособие / Л.Н. Тепман, Н.Д. Эриашвили. - М.: ЮНИТИ, 2021. - 295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Уродовских, В.Н. Управление рисками предприятия: Учебное пособие / В.Н. Уродовских.. - М.: Вузовский учебник, ИНФРА-М, 2018. - 168 c.</w:t>
      </w:r>
    </w:p>
    <w:p w:rsidR="0054795B" w:rsidRPr="0054795B" w:rsidRDefault="0054795B" w:rsidP="0054795B"/>
    <w:sectPr w:rsidR="0054795B" w:rsidRPr="0054795B" w:rsidSect="00A10F5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F6" w:rsidRDefault="007479F6" w:rsidP="00A10F55">
      <w:pPr>
        <w:spacing w:line="240" w:lineRule="auto"/>
      </w:pPr>
      <w:r>
        <w:separator/>
      </w:r>
    </w:p>
  </w:endnote>
  <w:endnote w:type="continuationSeparator" w:id="0">
    <w:p w:rsidR="007479F6" w:rsidRDefault="007479F6" w:rsidP="00A1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6835"/>
      <w:docPartObj>
        <w:docPartGallery w:val="Page Numbers (Bottom of Page)"/>
        <w:docPartUnique/>
      </w:docPartObj>
    </w:sdtPr>
    <w:sdtContent>
      <w:p w:rsidR="00A10F55" w:rsidRDefault="00A10F55" w:rsidP="00A10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F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F6" w:rsidRDefault="007479F6" w:rsidP="00A10F55">
      <w:pPr>
        <w:spacing w:line="240" w:lineRule="auto"/>
      </w:pPr>
      <w:r>
        <w:separator/>
      </w:r>
    </w:p>
  </w:footnote>
  <w:footnote w:type="continuationSeparator" w:id="0">
    <w:p w:rsidR="007479F6" w:rsidRDefault="007479F6" w:rsidP="00A1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E0"/>
    <w:multiLevelType w:val="multilevel"/>
    <w:tmpl w:val="F4A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4399"/>
    <w:multiLevelType w:val="multilevel"/>
    <w:tmpl w:val="ECF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94658"/>
    <w:multiLevelType w:val="multilevel"/>
    <w:tmpl w:val="E59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D0378"/>
    <w:multiLevelType w:val="hybridMultilevel"/>
    <w:tmpl w:val="5F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76E1F"/>
    <w:multiLevelType w:val="multilevel"/>
    <w:tmpl w:val="FAB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6551A"/>
    <w:multiLevelType w:val="multilevel"/>
    <w:tmpl w:val="2E0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F4ABD"/>
    <w:multiLevelType w:val="multilevel"/>
    <w:tmpl w:val="E4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631CD"/>
    <w:multiLevelType w:val="multilevel"/>
    <w:tmpl w:val="9B5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728F7"/>
    <w:multiLevelType w:val="multilevel"/>
    <w:tmpl w:val="74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E4789"/>
    <w:multiLevelType w:val="multilevel"/>
    <w:tmpl w:val="07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E74C8"/>
    <w:multiLevelType w:val="multilevel"/>
    <w:tmpl w:val="F5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42902"/>
    <w:multiLevelType w:val="multilevel"/>
    <w:tmpl w:val="E27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F70A2"/>
    <w:multiLevelType w:val="multilevel"/>
    <w:tmpl w:val="84D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B"/>
    <w:rsid w:val="0034773D"/>
    <w:rsid w:val="004418D8"/>
    <w:rsid w:val="0054795B"/>
    <w:rsid w:val="007479F6"/>
    <w:rsid w:val="009256CB"/>
    <w:rsid w:val="009E16D3"/>
    <w:rsid w:val="00A10F55"/>
    <w:rsid w:val="00B047F6"/>
    <w:rsid w:val="00C75D36"/>
    <w:rsid w:val="00DF6919"/>
    <w:rsid w:val="00E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Кривая распределения вероятности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dLbls>
            <c:dLbl>
              <c:idx val="0"/>
              <c:layout>
                <c:manualLayout>
                  <c:x val="-2.1708455443395207E-2"/>
                  <c:y val="-8.333333333333346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Наиболее вероятно</a:t>
                    </a:r>
                    <a:endParaRPr lang="en-US"/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774090411573914E-3"/>
                  <c:y val="2.456870786257991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Оптимально</a:t>
                    </a:r>
                    <a:endParaRPr lang="en-US"/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708455443394405E-3"/>
                  <c:y val="-4.761904761904762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Пессимистично</a:t>
                    </a:r>
                    <a:endParaRPr lang="en-US"/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Pos val="r"/>
            <c:showLegendKey val="0"/>
            <c:showVal val="1"/>
            <c:showCatName val="1"/>
            <c:showSerName val="0"/>
            <c:showPercent val="0"/>
            <c:showBubbleSize val="0"/>
            <c:showLeaderLines val="0"/>
          </c:dLbls>
          <c:xVal>
            <c:numRef>
              <c:f>Sheet1!$A$2:$A$4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8</c:v>
                </c:pt>
              </c:numCache>
            </c:numRef>
          </c:xVal>
          <c:yVal>
            <c:numRef>
              <c:f>Sheet1!$B$2:$B$4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0.5</c:v>
                </c:pt>
                <c:pt idx="2">
                  <c:v>1.0000000000000005E-2</c:v>
                </c:pt>
              </c:numCache>
            </c:numRef>
          </c:yVal>
          <c:smooth val="0"/>
        </c:ser>
        <c:dLbls>
          <c:showLegendKey val="0"/>
          <c:showVal val="1"/>
          <c:showCatName val="1"/>
          <c:showSerName val="0"/>
          <c:showPercent val="0"/>
          <c:showBubbleSize val="0"/>
        </c:dLbls>
        <c:axId val="165635200"/>
        <c:axId val="165637120"/>
      </c:scatterChart>
      <c:valAx>
        <c:axId val="165635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Месяцы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5637120"/>
        <c:crosses val="autoZero"/>
        <c:crossBetween val="midCat"/>
      </c:valAx>
      <c:valAx>
        <c:axId val="1656371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Вероятность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165635200"/>
        <c:crosses val="autoZero"/>
        <c:crossBetween val="midCat"/>
      </c:valAx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71B4-BC7C-4DE3-B207-075C6B3A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2021-11-16T05:32:00Z</dcterms:created>
  <dcterms:modified xsi:type="dcterms:W3CDTF">2021-11-16T05:32:00Z</dcterms:modified>
</cp:coreProperties>
</file>